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7" w:rsidRPr="00D84BD3" w:rsidRDefault="00C46648" w:rsidP="00AC479C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</w:t>
      </w:r>
      <w:r w:rsidR="00D84BD3">
        <w:rPr>
          <w:rFonts w:ascii="Times New Roman" w:hAnsi="Times New Roman" w:cs="Times New Roman"/>
          <w:b/>
          <w:sz w:val="28"/>
          <w:szCs w:val="28"/>
          <w:lang w:val="uz-Cyrl-UZ"/>
        </w:rPr>
        <w:t>Aholini</w:t>
      </w:r>
      <w:r w:rsidRPr="00D84B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D84BD3">
        <w:rPr>
          <w:rFonts w:ascii="Times New Roman" w:hAnsi="Times New Roman" w:cs="Times New Roman"/>
          <w:b/>
          <w:sz w:val="28"/>
          <w:szCs w:val="28"/>
          <w:lang w:val="uz-Cyrl-UZ"/>
        </w:rPr>
        <w:t>ro‘yxatga</w:t>
      </w:r>
      <w:r w:rsidRPr="00D84B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D84BD3">
        <w:rPr>
          <w:rFonts w:ascii="Times New Roman" w:hAnsi="Times New Roman" w:cs="Times New Roman"/>
          <w:b/>
          <w:sz w:val="28"/>
          <w:szCs w:val="28"/>
          <w:lang w:val="uz-Cyrl-UZ"/>
        </w:rPr>
        <w:t>olishning</w:t>
      </w:r>
      <w:r w:rsidRPr="00D84B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D84BD3">
        <w:rPr>
          <w:rFonts w:ascii="Times New Roman" w:hAnsi="Times New Roman" w:cs="Times New Roman"/>
          <w:b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D84BD3">
        <w:rPr>
          <w:rFonts w:ascii="Times New Roman" w:hAnsi="Times New Roman" w:cs="Times New Roman"/>
          <w:b/>
          <w:sz w:val="28"/>
          <w:szCs w:val="28"/>
          <w:lang w:val="uz-Cyrl-UZ"/>
        </w:rPr>
        <w:t>xususiyatlari</w:t>
      </w:r>
    </w:p>
    <w:p w:rsidR="00B96558" w:rsidRPr="00D84BD3" w:rsidRDefault="00B96558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96558" w:rsidRPr="00D84BD3" w:rsidRDefault="00B96558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xususiyatlariga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to‘plash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zarurati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ko‘plab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sabablarga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tuzilmasining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</w:t>
      </w:r>
      <w:bookmarkStart w:id="0" w:name="_GoBack"/>
      <w:bookmarkEnd w:id="0"/>
      <w:r w:rsidR="00D84BD3"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qamrovli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suratini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rejimlarini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tuzish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bozorida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aholisining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mehnatidan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muhimdir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yig‘ilgan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joylar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ahvolini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baholashga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imkon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o‘rinlarini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kamaytirish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hayot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o‘rtasidagi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munosabatlar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kasb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hunar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ta’limi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o‘qitish</w:t>
      </w:r>
      <w:r w:rsidR="009226C3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ta’minot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yo‘nalishlari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nafaqalar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imtiyozlar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gender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tenglik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inklyuzivlik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ishtiroki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boshqalar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3A7C4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C4D48" w:rsidRPr="00D84BD3" w:rsidRDefault="00BC4D48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statistikani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manbalardan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masalan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kuchini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xo‘jaliklariga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asoslangan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kuzatuvlar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ma’muriy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manbalardan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ammo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bu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manbalar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muayyan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cheklovlarga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kelmoqda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so‘rovlarida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aynan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tadqiqotlari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umummilliy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darajada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mintaqaviy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darajadagi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guruhlarni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ko‘rsatkichlari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keng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ko‘lamli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mos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keladi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Lekin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kuchini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kuzatuvlari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olingan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tabiiyki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xatolarga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moyil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shuning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kamdan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kichik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tumanlar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iqtisodiyotiga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tarmoqlarni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guruhlash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borasida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ishonchli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berishga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imkon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3A6D5C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C4D48" w:rsidRPr="00D84BD3" w:rsidRDefault="00BC4D48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xususiyatlariga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statistikani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rezolyutsiyalar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ko‘rsatmalar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statistikasi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konferensiyasi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tashkiloti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organi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tasdiqlanadi</w:t>
      </w:r>
      <w:r w:rsidR="004061A7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526C6" w:rsidRPr="00D84BD3" w:rsidRDefault="009526C6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xususiyatlarini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o‘lchash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statistikasining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konseptual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o‘zagiga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asoslangan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asoslar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faoliyatining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maqsadlari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ma’lumotnomada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jins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yoshdagi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tovarlar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o‘zlari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5C6334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”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belgilanadi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425EB" w:rsidRPr="00D84BD3" w:rsidRDefault="00C425EB" w:rsidP="00AC479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haol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xususiyatlarini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nechta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faoliyatida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nuqtai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nazaridan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o‘lchashlari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o‘lchov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:rsidR="00C425EB" w:rsidRPr="00D84BD3" w:rsidRDefault="00D84BD3" w:rsidP="00D84BD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statistikasini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rivojlantirishning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tarkibiy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qismi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sifatida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ishsizlik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kuchidan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foydalanmaslikning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ko‘rsatkichlarini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bozoridagi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davomida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C425E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kuchidaishtirok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holatiga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tasniflash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muhimdir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C2F33" w:rsidRPr="00D84BD3" w:rsidRDefault="00D84BD3" w:rsidP="00D84BD3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qishloq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xo‘jaligining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soni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o‘zlari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tovarlar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shug‘ullanadigan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faoliyatlar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o‘ziga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xos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guruhlari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qishloq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ovlash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o‘zlarining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foydalanishlari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tirikchilik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sanaladi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C2F33" w:rsidRPr="00D84BD3" w:rsidRDefault="00D84BD3" w:rsidP="00F75711">
      <w:pPr>
        <w:ind w:firstLine="100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xususiyatlari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mamlakatning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shartlari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minimal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 yetgan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to‘planishi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dasturlarda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mehnatga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layoqatli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statistikasidan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chiqilgan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foydalaniladi</w:t>
      </w:r>
      <w:r w:rsidR="00BC2F33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Mehnatga</w:t>
      </w:r>
      <w:r w:rsidR="00CE6BC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layoqatli</w:t>
      </w:r>
      <w:r w:rsidR="00CE6BC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CE6BC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statistikasini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standartlarga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mamlakatlarda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haqining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minimal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yoshiga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qonunlarda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qoidalarda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istisnolardan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majburiy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ta’limining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tugash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yoshidan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belgilanishini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tafsiya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F85371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mehnati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statistikasini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standartlarga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z-Cyrl-UZ"/>
        </w:rPr>
        <w:t>yoshdan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17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yoshgacha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belgilanadi</w:t>
      </w:r>
      <w:r w:rsidR="003120D0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348CD" w:rsidRPr="00D84BD3" w:rsidRDefault="00D84BD3" w:rsidP="00C348CD">
      <w:pPr>
        <w:ind w:firstLine="100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ko‘plab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bolalarning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bandligi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turdagi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87502B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qishloq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xo‘jaligida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mamlakatlarga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nisbatan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pastroq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chegarasini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belgilashlari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bo‘ladi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xarakterlari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jadvallarda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yoshgacha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undan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yoshdagi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="004D1FB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farq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Maktabni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bitirishning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yoshi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/>
        </w:rPr>
        <w:t>yoshdan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oshgan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yoshdan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past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faoliyatida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ko‘plab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hech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bo‘lmaganda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to‘lgan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taqqoslashni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bolalarning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="00761826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xususiyatlari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to‘plashga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qilishlari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C348C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D46AD" w:rsidRPr="00D84BD3" w:rsidRDefault="00F75711" w:rsidP="00C348C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iqtisodiy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xususiyatlarini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o‘lchash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chegarasini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belgilash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etilmaydi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chunki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ko‘pchilik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odatdagidan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xil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shakllarida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etishni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davom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84BD3">
        <w:rPr>
          <w:rFonts w:ascii="Times New Roman" w:hAnsi="Times New Roman" w:cs="Times New Roman"/>
          <w:sz w:val="28"/>
          <w:szCs w:val="28"/>
          <w:lang w:val="uz-Cyrl-UZ"/>
        </w:rPr>
        <w:t>ettiradi</w:t>
      </w:r>
      <w:r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D46AD" w:rsidRPr="00D84BD3" w:rsidRDefault="00D84BD3" w:rsidP="007B68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Ishchi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kuchida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hollari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boshlanishidan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oldingi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so‘ngi yetti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oxirgi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kalendar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so‘ngi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yaqin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Taqqoslash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agar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2D46AD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umummilliy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tadqiqot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xuddi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vaqtni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qo‘llash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xisob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kitob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davri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ro‘yxatga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vaqtida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bozorida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manzarasini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8404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ta’minlanganlar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evaziga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tovar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taklifini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ettiradi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Sanoat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rivojlangan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94EEC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rivojlanayotgan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mamlakatlarda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sezilarli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ishsizlik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darajasining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mavsumiy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tebranishlari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etmaydi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rejimidagi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vaqtinchalik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tebranishlarni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so‘rovnomalar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baxolash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yildan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kamroq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855C6D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uy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so‘rovlari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5E6837" w:rsidRPr="00D84BD3" w:rsidRDefault="00D84BD3" w:rsidP="007B68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E6837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bo‘lganlarga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yoshga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to‘lgan yetti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kunlik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haftalik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davomida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evaziga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tovar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bog‘liq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oshiradigan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963EAF" w:rsidRPr="00D84B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kiradi</w:t>
      </w:r>
      <w:r w:rsidR="007B683D" w:rsidRPr="00D84BD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5E6837" w:rsidRPr="00D84BD3" w:rsidSect="006C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48" w:rsidRDefault="000C1048" w:rsidP="00D84BD3">
      <w:pPr>
        <w:spacing w:after="0" w:line="240" w:lineRule="auto"/>
      </w:pPr>
      <w:r>
        <w:separator/>
      </w:r>
    </w:p>
  </w:endnote>
  <w:endnote w:type="continuationSeparator" w:id="0">
    <w:p w:rsidR="000C1048" w:rsidRDefault="000C1048" w:rsidP="00D8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48" w:rsidRDefault="000C1048" w:rsidP="00D84BD3">
      <w:pPr>
        <w:spacing w:after="0" w:line="240" w:lineRule="auto"/>
      </w:pPr>
      <w:r>
        <w:separator/>
      </w:r>
    </w:p>
  </w:footnote>
  <w:footnote w:type="continuationSeparator" w:id="0">
    <w:p w:rsidR="000C1048" w:rsidRDefault="000C1048" w:rsidP="00D8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171"/>
    <w:multiLevelType w:val="hybridMultilevel"/>
    <w:tmpl w:val="7BFACD66"/>
    <w:lvl w:ilvl="0" w:tplc="36FA6FD4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48"/>
    <w:rsid w:val="000A5295"/>
    <w:rsid w:val="000C1048"/>
    <w:rsid w:val="002D46AD"/>
    <w:rsid w:val="003120D0"/>
    <w:rsid w:val="003A6D5C"/>
    <w:rsid w:val="003A7C4D"/>
    <w:rsid w:val="003B3350"/>
    <w:rsid w:val="004061A7"/>
    <w:rsid w:val="00486F57"/>
    <w:rsid w:val="004B55B9"/>
    <w:rsid w:val="004C43D4"/>
    <w:rsid w:val="004D1FBD"/>
    <w:rsid w:val="00594EEC"/>
    <w:rsid w:val="005B6CB6"/>
    <w:rsid w:val="005C6334"/>
    <w:rsid w:val="005E6837"/>
    <w:rsid w:val="006C5CC7"/>
    <w:rsid w:val="00761826"/>
    <w:rsid w:val="007B683D"/>
    <w:rsid w:val="008404AF"/>
    <w:rsid w:val="00855C6D"/>
    <w:rsid w:val="0087502B"/>
    <w:rsid w:val="00897DDF"/>
    <w:rsid w:val="00913CE8"/>
    <w:rsid w:val="009226C3"/>
    <w:rsid w:val="009526C6"/>
    <w:rsid w:val="00963EAF"/>
    <w:rsid w:val="00AA4A66"/>
    <w:rsid w:val="00AC479C"/>
    <w:rsid w:val="00B310B3"/>
    <w:rsid w:val="00B517A4"/>
    <w:rsid w:val="00B96558"/>
    <w:rsid w:val="00BC2F33"/>
    <w:rsid w:val="00BC4D48"/>
    <w:rsid w:val="00C348CD"/>
    <w:rsid w:val="00C425EB"/>
    <w:rsid w:val="00C46648"/>
    <w:rsid w:val="00CE6BC7"/>
    <w:rsid w:val="00D84BD3"/>
    <w:rsid w:val="00F50429"/>
    <w:rsid w:val="00F75711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BD3"/>
  </w:style>
  <w:style w:type="paragraph" w:styleId="a6">
    <w:name w:val="footer"/>
    <w:basedOn w:val="a"/>
    <w:link w:val="a7"/>
    <w:uiPriority w:val="99"/>
    <w:semiHidden/>
    <w:unhideWhenUsed/>
    <w:rsid w:val="00D8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BD3"/>
  </w:style>
  <w:style w:type="paragraph" w:styleId="a6">
    <w:name w:val="footer"/>
    <w:basedOn w:val="a"/>
    <w:link w:val="a7"/>
    <w:uiPriority w:val="99"/>
    <w:semiHidden/>
    <w:unhideWhenUsed/>
    <w:rsid w:val="00D8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ARolish</dc:creator>
  <cp:lastModifiedBy>Пользователь</cp:lastModifiedBy>
  <cp:revision>2</cp:revision>
  <dcterms:created xsi:type="dcterms:W3CDTF">2024-02-02T09:49:00Z</dcterms:created>
  <dcterms:modified xsi:type="dcterms:W3CDTF">2024-02-02T09:49:00Z</dcterms:modified>
</cp:coreProperties>
</file>