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B8" w:rsidRDefault="00B8758D" w:rsidP="005A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O‘ZBEKISTON RESPUBLIKASI PREZIDENTINING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2-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YIL 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Latn-UZ"/>
        </w:rPr>
        <w:t>30-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Latn-UZ"/>
        </w:rPr>
        <w:t>DEKABRDAGI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“RESPUBLIKA HUDUDLARINI TOIFALARGA AJRATIS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VA TADBIRKORLIKNI QO‘LLAB-QUVVATLA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NING TABAQALA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TIRILGAN TIZIMINI JORIY ETISH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H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ORA-TADBIRLARI TO‘G‘RISIDA”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Latn-UZ"/>
        </w:rPr>
        <w:t>GI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 w:rsidRPr="00C050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Latn-UZ"/>
        </w:rPr>
        <w:t>FARMONI BILAN</w:t>
      </w:r>
      <w:bookmarkStart w:id="0" w:name="_GoBack"/>
      <w:bookmarkEnd w:id="0"/>
    </w:p>
    <w:p w:rsidR="00C050DF" w:rsidRPr="00C050DF" w:rsidRDefault="00C050DF" w:rsidP="005A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</w:p>
    <w:p w:rsidR="00B85AB8" w:rsidRPr="00B0063D" w:rsidRDefault="00C050DF" w:rsidP="005A50D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Hududlar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o‘rtasidagi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iqtisodiy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tengsizlikni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qisqartirish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tuman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va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shaharlarni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ularning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sharoiti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salohiyati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va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imkoniyatlaridan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kelib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chiqib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rivojlantirish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bo‘yicha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yangicha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yondashuvlarni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joriy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etish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shuningdek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tadbirkorlik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muhitini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yanada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yaxshilash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davlat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ko‘magini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berish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tartibini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takomillashtirish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va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uning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samaradorligini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oshirish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maqsadida</w:t>
      </w:r>
      <w:r w:rsidR="00B85AB8" w:rsidRPr="00B0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>:</w:t>
      </w:r>
    </w:p>
    <w:p w:rsidR="00670532" w:rsidRPr="00C050DF" w:rsidRDefault="00C050DF" w:rsidP="006705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050DF">
        <w:rPr>
          <w:rFonts w:ascii="Times New Roman" w:hAnsi="Times New Roman" w:cs="Times New Roman"/>
          <w:sz w:val="28"/>
          <w:szCs w:val="28"/>
          <w:lang w:val="en-US"/>
        </w:rPr>
        <w:t>Farmonning</w:t>
      </w:r>
      <w:proofErr w:type="spellEnd"/>
      <w:r w:rsidR="0095782A" w:rsidRPr="00C05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95782A" w:rsidRPr="00C050DF">
          <w:rPr>
            <w:rStyle w:val="a3"/>
            <w:rFonts w:ascii="Times New Roman" w:hAnsi="Times New Roman" w:cs="Times New Roman"/>
            <w:color w:val="008080"/>
            <w:sz w:val="28"/>
            <w:szCs w:val="28"/>
            <w:u w:val="none"/>
            <w:shd w:val="clear" w:color="auto" w:fill="FFFFFF"/>
            <w:lang w:val="en-US"/>
          </w:rPr>
          <w:t>1-</w:t>
        </w:r>
        <w:r w:rsidRPr="00C050DF">
          <w:rPr>
            <w:rStyle w:val="a3"/>
            <w:rFonts w:ascii="Times New Roman" w:hAnsi="Times New Roman" w:cs="Times New Roman"/>
            <w:color w:val="008080"/>
            <w:sz w:val="28"/>
            <w:szCs w:val="28"/>
            <w:u w:val="none"/>
            <w:shd w:val="clear" w:color="auto" w:fill="FFFFFF"/>
            <w:lang w:val="en-US"/>
          </w:rPr>
          <w:t>ilovasiga</w:t>
        </w:r>
        <w:r w:rsidR="0095782A" w:rsidRPr="00C050DF">
          <w:rPr>
            <w:rStyle w:val="a3"/>
            <w:rFonts w:ascii="Times New Roman" w:hAnsi="Times New Roman" w:cs="Times New Roman"/>
            <w:color w:val="008080"/>
            <w:sz w:val="28"/>
            <w:szCs w:val="28"/>
            <w:u w:val="none"/>
            <w:shd w:val="clear" w:color="auto" w:fill="FFFFFF"/>
            <w:lang w:val="en-US"/>
          </w:rPr>
          <w:t> </w:t>
        </w:r>
        <w:proofErr w:type="spellStart"/>
      </w:hyperlink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muvofiq</w:t>
      </w:r>
      <w:proofErr w:type="spellEnd"/>
      <w:r w:rsidR="0095782A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respublika</w:t>
      </w:r>
      <w:proofErr w:type="spellEnd"/>
      <w:r w:rsidR="0095782A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tuman</w:t>
      </w:r>
      <w:proofErr w:type="spellEnd"/>
      <w:r w:rsidR="0095782A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proofErr w:type="gramEnd"/>
      <w:r w:rsidR="0095782A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shaharlari</w:t>
      </w:r>
      <w:proofErr w:type="spellEnd"/>
      <w:r w:rsidR="0095782A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5782A" w:rsidRPr="00C050DF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 xml:space="preserve">5 </w:t>
      </w:r>
      <w:r w:rsidRPr="00C050DF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ta</w:t>
      </w:r>
      <w:r w:rsidR="0095782A" w:rsidRPr="00C050DF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toifa</w:t>
      </w:r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</w:t>
      </w:r>
      <w:proofErr w:type="spellEnd"/>
      <w:r w:rsidR="0095782A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ajratildi</w:t>
      </w:r>
      <w:proofErr w:type="spellEnd"/>
      <w:r w:rsidR="0095782A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526EF5" w:rsidRPr="005A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Latn-UZ"/>
        </w:rPr>
        <w:t xml:space="preserve"> </w:t>
      </w:r>
    </w:p>
    <w:p w:rsidR="0095782A" w:rsidRPr="00C050DF" w:rsidRDefault="00C050DF" w:rsidP="006705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Tuman</w:t>
      </w:r>
      <w:proofErr w:type="spellEnd"/>
      <w:r w:rsidR="00526EF5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proofErr w:type="gramEnd"/>
      <w:r w:rsidR="00526EF5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shahar</w:t>
      </w:r>
      <w:proofErr w:type="spellEnd"/>
      <w:r w:rsidR="00526EF5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toifasidan</w:t>
      </w:r>
      <w:proofErr w:type="spellEnd"/>
      <w:r w:rsidR="00526EF5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kelib</w:t>
      </w:r>
      <w:proofErr w:type="spellEnd"/>
      <w:r w:rsidR="00526EF5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chiqib</w:t>
      </w:r>
      <w:proofErr w:type="spellEnd"/>
      <w:r w:rsidR="00526EF5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tadbirkorlik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sub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y</w:t>
      </w:r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ektlariga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soliq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imtiyozlari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,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subsidiyalar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va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ularni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qo‘llab</w:t>
      </w:r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-</w:t>
      </w:r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quvvatlashning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boshqa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choralarini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qo‘llash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tartibini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joriy</w:t>
      </w:r>
      <w:proofErr w:type="spellEnd"/>
      <w:r w:rsidR="00526EF5"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C050DF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en-US"/>
        </w:rPr>
        <w:t>et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uz-Latn-UZ"/>
        </w:rPr>
        <w:t>ildi</w:t>
      </w:r>
      <w:r w:rsidR="00526EF5" w:rsidRPr="00670532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  <w:lang w:val="uz-Latn-UZ"/>
        </w:rPr>
        <w:t>.</w:t>
      </w:r>
      <w:r w:rsidR="0095782A" w:rsidRPr="00C05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0B2B69" w:rsidRPr="005A50D5" w:rsidRDefault="00C050DF" w:rsidP="00BB4C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Qo‘</w:t>
      </w:r>
      <w:proofErr w:type="spellStart"/>
      <w:r w:rsidRPr="00C050DF">
        <w:rPr>
          <w:rFonts w:ascii="Times New Roman" w:hAnsi="Times New Roman" w:cs="Times New Roman"/>
          <w:sz w:val="28"/>
          <w:szCs w:val="28"/>
          <w:lang w:val="en-US"/>
        </w:rPr>
        <w:t>shrabot</w:t>
      </w:r>
      <w:proofErr w:type="spellEnd"/>
      <w:r w:rsidR="0095782A" w:rsidRPr="00C05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sz w:val="28"/>
          <w:szCs w:val="28"/>
          <w:lang w:val="en-US"/>
        </w:rPr>
        <w:t>tumani</w:t>
      </w:r>
      <w:proofErr w:type="spellEnd"/>
      <w:r w:rsidR="0095782A" w:rsidRPr="00C05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hAnsi="Times New Roman" w:cs="Times New Roman"/>
          <w:sz w:val="28"/>
          <w:szCs w:val="28"/>
          <w:lang w:val="en-US"/>
        </w:rPr>
        <w:t>kiritilgan</w:t>
      </w:r>
      <w:proofErr w:type="spellEnd"/>
      <w:r w:rsidR="0095782A" w:rsidRPr="005A50D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  <w:lang w:val="uz-Latn-UZ"/>
        </w:rPr>
        <w:t>beshinchi</w:t>
      </w:r>
      <w:r w:rsidR="0095782A" w:rsidRPr="00BB4C06">
        <w:rPr>
          <w:rFonts w:ascii="Times New Roman" w:hAnsi="Times New Roman" w:cs="Times New Roman"/>
          <w:color w:val="00B050"/>
          <w:sz w:val="28"/>
          <w:szCs w:val="28"/>
          <w:u w:val="single"/>
          <w:lang w:val="uz-Latn-UZ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  <w:lang w:val="uz-Latn-UZ"/>
        </w:rPr>
        <w:t>toifaga</w:t>
      </w:r>
      <w:r w:rsidR="0095782A" w:rsidRPr="005A50D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quyidagi</w:t>
      </w:r>
      <w:r w:rsidR="0095782A" w:rsidRPr="005A50D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imtiyozlar</w:t>
      </w:r>
      <w:r w:rsidR="0095782A" w:rsidRPr="005A50D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berildi</w:t>
      </w:r>
      <w:r w:rsidR="000B2B69" w:rsidRPr="005A50D5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0B2B69" w:rsidRPr="005A50D5" w:rsidRDefault="00C050DF" w:rsidP="00BB4C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Jumladan</w:t>
      </w:r>
      <w:r w:rsidR="00BB4C06" w:rsidRPr="00560538">
        <w:rPr>
          <w:rFonts w:ascii="Times New Roman" w:hAnsi="Times New Roman" w:cs="Times New Roman"/>
          <w:sz w:val="28"/>
          <w:szCs w:val="28"/>
          <w:lang w:val="uz-Latn-UZ"/>
        </w:rPr>
        <w:t>;</w:t>
      </w:r>
      <w:r w:rsidR="000B2B69" w:rsidRPr="005A50D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:rsidR="00361230" w:rsidRPr="005A50D5" w:rsidRDefault="00C050DF" w:rsidP="005A50D5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2023-yil 1-yanvardan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 w:rsidR="00361230" w:rsidRPr="00B0063D">
        <w:rPr>
          <w:rFonts w:ascii="Times New Roman" w:eastAsia="Times New Roman" w:hAnsi="Times New Roman" w:cs="Times New Roman"/>
          <w:color w:val="00B050"/>
          <w:sz w:val="28"/>
          <w:szCs w:val="28"/>
          <w:lang w:val="uz-Latn-UZ"/>
        </w:rPr>
        <w:t>2026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uz-Latn-UZ"/>
        </w:rPr>
        <w:t>-yil 1-yanvarga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qadar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soliq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solishning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quyidagi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tabaqalashtirilgan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tartibi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joriy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etildi</w:t>
      </w:r>
      <w:r w:rsidR="00361230" w:rsidRPr="005A50D5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:</w:t>
      </w:r>
    </w:p>
    <w:p w:rsidR="00361230" w:rsidRPr="00801F07" w:rsidRDefault="00C050DF" w:rsidP="005A50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a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) </w:t>
      </w:r>
      <w:r w:rsidR="00361230" w:rsidRPr="00801F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>5-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>toifadagi</w:t>
      </w:r>
      <w:r w:rsidR="00361230" w:rsidRPr="00801F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>tumanlarda</w:t>
      </w:r>
      <w:r w:rsidR="00361230" w:rsidRPr="00801F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>ro‘yxatdan</w:t>
      </w:r>
      <w:r w:rsidR="00361230" w:rsidRPr="00801F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>o‘tgan</w:t>
      </w:r>
      <w:r w:rsidR="00361230" w:rsidRPr="00801F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>va</w:t>
      </w:r>
      <w:r w:rsidR="00361230" w:rsidRPr="00801F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>shu</w:t>
      </w:r>
      <w:r w:rsidR="00361230" w:rsidRPr="00801F0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z-Latn-UZ"/>
        </w:rPr>
        <w:t>hududlarda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faoliyat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yuritadigan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uz-Latn-UZ"/>
        </w:rPr>
        <w:t>tadbirkorlik</w:t>
      </w:r>
      <w:r w:rsidR="00361230" w:rsidRPr="00801F07">
        <w:rPr>
          <w:rFonts w:ascii="Times New Roman" w:eastAsia="Times New Roman" w:hAnsi="Times New Roman" w:cs="Times New Roman"/>
          <w:color w:val="00B05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uz-Latn-UZ"/>
        </w:rPr>
        <w:t>subyektlari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yirik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soliq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to‘lovchilar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doimiy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muassasa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byudjet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tashkiloti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va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davlat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korxonasi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ustav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jamg‘armasi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kapitali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da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davlat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ulushi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foiz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va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undan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ko‘proq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miqdorda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bo‘lgan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yuridik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shaxslar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bundan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mustasno</w:t>
      </w:r>
      <w:r w:rsidR="00361230" w:rsidRPr="00801F07">
        <w:rPr>
          <w:rFonts w:ascii="Times New Roman" w:eastAsia="Times New Roman" w:hAnsi="Times New Roman" w:cs="Times New Roman"/>
          <w:color w:val="000000"/>
          <w:sz w:val="28"/>
          <w:szCs w:val="28"/>
          <w:lang w:val="uz-Latn-UZ"/>
        </w:rPr>
        <w:t>):</w:t>
      </w:r>
    </w:p>
    <w:p w:rsidR="00361230" w:rsidRPr="00C050DF" w:rsidRDefault="00C050DF" w:rsidP="005A50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</w:pPr>
      <w:proofErr w:type="spellStart"/>
      <w:proofErr w:type="gram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foyda</w:t>
      </w:r>
      <w:proofErr w:type="spellEnd"/>
      <w:proofErr w:type="gram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solig‘i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, </w:t>
      </w:r>
      <w:proofErr w:type="spell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aylanmadan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olinadigan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soliq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va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ijtimoiy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soliqni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 </w:t>
      </w:r>
      <w:r w:rsidR="00560538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br/>
      </w:r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 xml:space="preserve">1 </w:t>
      </w:r>
      <w:proofErr w:type="spellStart"/>
      <w:r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foiz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/>
        </w:rPr>
        <w:t>;</w:t>
      </w:r>
    </w:p>
    <w:p w:rsidR="00361230" w:rsidRPr="00C050DF" w:rsidRDefault="00C050DF" w:rsidP="005A50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yuridik</w:t>
      </w:r>
      <w:proofErr w:type="spellEnd"/>
      <w:proofErr w:type="gram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shaxslarning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mol</w:t>
      </w:r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mulkiga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solinadigan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soliq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yuridik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shaxslardan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olinadigan</w:t>
      </w:r>
      <w:proofErr w:type="spellEnd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yer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solig‘ini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mazkur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soliqlar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bo‘yicha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hisoblangan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summaning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foizi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miqdoridagi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soliq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stavkalari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bo‘yicha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to‘laydi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361230" w:rsidRPr="00C050DF" w:rsidRDefault="00C050DF" w:rsidP="003612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5-</w:t>
      </w: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toifadagi</w:t>
      </w:r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tumanlarda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ro‘yxatdan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o‘tgan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shu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hududlarda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faoliyat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yuritadigan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yakka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tartibdagi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tadbirkorlar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jismoniy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shaxslardan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olinadigan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daromad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solig‘ining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qat’iy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belgilangan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summalarini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to‘lashdan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ozod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qilinadi</w:t>
      </w:r>
      <w:proofErr w:type="spellEnd"/>
      <w:r w:rsidR="00361230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53F1F" w:rsidRPr="00C050DF" w:rsidRDefault="00753F1F" w:rsidP="00753F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2023</w:t>
      </w:r>
      <w:r w:rsid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yil</w:t>
      </w:r>
      <w:r w:rsid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1-</w:t>
      </w:r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yanvardan</w:t>
      </w: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boshlab</w:t>
      </w:r>
      <w:proofErr w:type="spellEnd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Tadbirkorlik</w:t>
      </w:r>
      <w:proofErr w:type="spellEnd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faoliyatini</w:t>
      </w:r>
      <w:proofErr w:type="spellEnd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qo‘llab</w:t>
      </w: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quvvatlash</w:t>
      </w:r>
      <w:proofErr w:type="spellEnd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davlat</w:t>
      </w:r>
      <w:proofErr w:type="spellEnd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jamg‘armasi</w:t>
      </w:r>
      <w:proofErr w:type="spellEnd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050D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tomonidan</w:t>
      </w:r>
      <w:proofErr w:type="spellEnd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753F1F" w:rsidRPr="00C050DF" w:rsidRDefault="00C050DF" w:rsidP="00753F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proofErr w:type="gram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umumiy</w:t>
      </w:r>
      <w:proofErr w:type="spellEnd"/>
      <w:proofErr w:type="gram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belgilangan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shartlar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doirasida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4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5-</w:t>
      </w: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toifadagi</w:t>
      </w:r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tumanlarda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ro‘yxatdan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o‘tgan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shu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hududlarda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faoliyat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yuritadigan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kichik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tadbirkorlik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ektlariga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753F1F" w:rsidRPr="00C050DF" w:rsidRDefault="00C050DF" w:rsidP="00753F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tijorat</w:t>
      </w:r>
      <w:proofErr w:type="spellEnd"/>
      <w:proofErr w:type="gram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banklarining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kredit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lizinglari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bo‘yicha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uning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asosiy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stavkadan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oshgan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biroq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Markaziy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bank</w:t>
      </w:r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asosiy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stavkasining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40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foizidan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ko‘p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bo‘lmagan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qismini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qoplash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uchun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kompensatsiya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taqdim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etiladi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753F1F" w:rsidRPr="00C050DF" w:rsidRDefault="00C050DF" w:rsidP="00753F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tijorat</w:t>
      </w:r>
      <w:proofErr w:type="spellEnd"/>
      <w:proofErr w:type="gram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banklari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kreditlarining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75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foizigacha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biroq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umumiy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qiymati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2,5 </w:t>
      </w:r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milliard</w:t>
      </w:r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so‘mdan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oshmagan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miqdorda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kafillik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taqdim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etiladi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753F1F" w:rsidRPr="00C050DF" w:rsidRDefault="00C050DF" w:rsidP="00753F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</w:t>
      </w:r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</w:t>
      </w:r>
      <w:proofErr w:type="spellStart"/>
      <w:proofErr w:type="gram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kichik</w:t>
      </w:r>
      <w:proofErr w:type="spellEnd"/>
      <w:proofErr w:type="gram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tadbirkorlik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sub’ektlariga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tavakkalchilik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darajasidan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kelib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chiqqan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holda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ular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avval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kreditlari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bo‘yicha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mazkur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Jamg‘arma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kafilligidan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foydalanayotgan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bo‘lishidan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qat’i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nazar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qo‘shimcha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kreditlar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bo‘yicha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belgilangan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umumiy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miqdor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shartlar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doirasida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kafilliklar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taqdim</w:t>
      </w:r>
      <w:proofErr w:type="spellEnd"/>
      <w:r w:rsidR="00753F1F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etiladi</w:t>
      </w:r>
      <w:proofErr w:type="spellEnd"/>
      <w:r w:rsidR="00560538" w:rsidRPr="00C050DF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560538" w:rsidRPr="00C050DF" w:rsidRDefault="00560538" w:rsidP="00753F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3237E0" w:rsidRPr="00C050DF" w:rsidRDefault="00C050DF" w:rsidP="003237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Tadbirkorlik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faoliyatini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tuman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proofErr w:type="gram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va</w:t>
      </w:r>
      <w:proofErr w:type="spellEnd"/>
      <w:proofErr w:type="gram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shaharlarning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toifalaridan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kelib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chiqib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,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qo‘llab</w:t>
      </w:r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-</w:t>
      </w:r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quvvatlash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choralari</w:t>
      </w:r>
      <w:proofErr w:type="spellEnd"/>
    </w:p>
    <w:tbl>
      <w:tblPr>
        <w:tblW w:w="48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6246"/>
        <w:gridCol w:w="1198"/>
        <w:gridCol w:w="1202"/>
      </w:tblGrid>
      <w:tr w:rsidR="00E52A5D" w:rsidRPr="003237E0" w:rsidTr="00E52A5D"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E52A5D" w:rsidRPr="0032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C050DF" w:rsidRDefault="00C050DF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Biznesni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qo‘llab</w:t>
            </w:r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quvvatlash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yo‘nalishlari</w:t>
            </w:r>
            <w:proofErr w:type="spellEnd"/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toifa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toifa</w:t>
            </w:r>
          </w:p>
        </w:tc>
      </w:tr>
      <w:tr w:rsidR="00E52A5D" w:rsidRPr="003237E0" w:rsidTr="00E52A5D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Tadbirkorlik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sohasida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litsenziya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ruxsatnomalar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olishda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miqdori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amaldagi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stavkaga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nisbatan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foiz</w:t>
            </w:r>
            <w:proofErr w:type="spellEnd"/>
          </w:p>
        </w:tc>
      </w:tr>
      <w:tr w:rsidR="00E52A5D" w:rsidRPr="003237E0" w:rsidTr="00E52A5D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mulki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hisoblangan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uchastkalari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binolarni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savdolarga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chiqarishda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preferensiyalar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maqsadida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boshlang‘ich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zakalat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miqdori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amaldagi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stavkaga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nisbatan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foiz</w:t>
            </w:r>
            <w:proofErr w:type="spellEnd"/>
          </w:p>
        </w:tc>
      </w:tr>
      <w:tr w:rsidR="00E52A5D" w:rsidRPr="003237E0" w:rsidTr="00E52A5D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Tadbirkorlik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sub’ektlariga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xizmatlarini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ko‘rsatishda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belgilangan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to‘lovlar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miqdori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amaldagi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stavkaga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nisbatan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foiz</w:t>
            </w:r>
            <w:proofErr w:type="spellEnd"/>
          </w:p>
        </w:tc>
      </w:tr>
      <w:tr w:rsidR="00E52A5D" w:rsidRPr="003237E0" w:rsidTr="00E52A5D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mulki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ob’ektlarini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ijaraga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berishda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auksionga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chiqariladigan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boshlang‘ich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narxni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belgilash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amaldagi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stavkaga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nisbatan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foiz</w:t>
            </w:r>
            <w:proofErr w:type="spellEnd"/>
          </w:p>
        </w:tc>
      </w:tr>
      <w:tr w:rsidR="00E52A5D" w:rsidRPr="003237E0" w:rsidTr="00E52A5D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Infratuzilmaga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ulanishda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xarajatlar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davlat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tomonidan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qoplab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beriladigan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tadbirkorlik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loyihalarining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qiymati</w:t>
            </w:r>
            <w:proofErr w:type="spellEnd"/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milliard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so‘m</w:t>
            </w:r>
            <w:proofErr w:type="spellEnd"/>
          </w:p>
        </w:tc>
      </w:tr>
    </w:tbl>
    <w:p w:rsidR="003237E0" w:rsidRPr="003237E0" w:rsidRDefault="003237E0" w:rsidP="0032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37E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237E0" w:rsidRPr="00C050DF" w:rsidRDefault="00C050DF" w:rsidP="003237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Aholi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proofErr w:type="gram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va</w:t>
      </w:r>
      <w:proofErr w:type="spellEnd"/>
      <w:proofErr w:type="gram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tadbirkorlik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sub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y</w:t>
      </w:r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ektlariga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subsidiya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ajratishning</w:t>
      </w:r>
      <w:proofErr w:type="spellEnd"/>
      <w:r w:rsidR="003237E0"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C050D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/>
        </w:rPr>
        <w:t>oshirilgan</w:t>
      </w:r>
      <w:proofErr w:type="spellEnd"/>
    </w:p>
    <w:p w:rsidR="003237E0" w:rsidRPr="003237E0" w:rsidRDefault="00C050DF" w:rsidP="0032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aps/>
          <w:color w:val="000080"/>
          <w:sz w:val="27"/>
          <w:szCs w:val="27"/>
        </w:rPr>
        <w:t>MIQDORLARI</w:t>
      </w:r>
    </w:p>
    <w:tbl>
      <w:tblPr>
        <w:tblW w:w="48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960"/>
        <w:gridCol w:w="1829"/>
        <w:gridCol w:w="1827"/>
      </w:tblGrid>
      <w:tr w:rsidR="00E52A5D" w:rsidRPr="003237E0" w:rsidTr="00E52A5D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E52A5D" w:rsidRPr="0032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C050DF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Biznesni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qo‘llab</w:t>
            </w:r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quvvatlash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yo‘nalishlari</w:t>
            </w:r>
            <w:proofErr w:type="spellEnd"/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hd w:val="clear" w:color="auto" w:fill="FFFFFF"/>
              <w:spacing w:after="0" w:line="240" w:lineRule="auto"/>
              <w:ind w:left="-65"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toifa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toifa</w:t>
            </w:r>
          </w:p>
        </w:tc>
      </w:tr>
      <w:tr w:rsidR="00E52A5D" w:rsidRPr="00C050DF" w:rsidTr="00E52A5D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C050DF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Aholini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tadbirkorlikka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jalb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qilish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jamg‘armasi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hisobidan</w:t>
            </w:r>
            <w:proofErr w:type="spellEnd"/>
          </w:p>
        </w:tc>
      </w:tr>
      <w:tr w:rsidR="00E52A5D" w:rsidRPr="003237E0" w:rsidTr="00E52A5D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C050DF" w:rsidRDefault="00C050DF" w:rsidP="003237E0">
            <w:pPr>
              <w:shd w:val="clear" w:color="auto" w:fill="FFFFFF"/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sug‘orish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vositalarini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xarid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</w:p>
        </w:tc>
        <w:tc>
          <w:tcPr>
            <w:tcW w:w="2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Bazaviy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hisoblash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miqdorining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baravarigacha</w:t>
            </w:r>
            <w:proofErr w:type="spellEnd"/>
          </w:p>
        </w:tc>
      </w:tr>
      <w:tr w:rsidR="00E52A5D" w:rsidRPr="003237E0" w:rsidTr="00E52A5D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ishsiz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fuqarolar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ta’minlangan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oilalar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a’zolari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tashqi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mehnat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migratsiyasidan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qaytib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shaxslarga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ularning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bandligini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ta’minlash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maqsadida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tashkil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etiladigan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qishloq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xo‘jaligi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kooperativlari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ustav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fondiga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sifatida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kiritish</w:t>
            </w:r>
            <w:proofErr w:type="spellEnd"/>
          </w:p>
        </w:tc>
        <w:tc>
          <w:tcPr>
            <w:tcW w:w="2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Bazaviy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hisoblash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miqdorining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baravarigacha</w:t>
            </w:r>
            <w:proofErr w:type="spellEnd"/>
          </w:p>
        </w:tc>
      </w:tr>
      <w:tr w:rsidR="00E52A5D" w:rsidRPr="003237E0" w:rsidTr="00E52A5D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hd w:val="clear" w:color="auto" w:fill="FFFFFF"/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usta</w:t>
            </w:r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shogird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an’analari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asosida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yoshlarga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hunar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o‘rgatayotgan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hunarmandlarga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kulollarga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shogirdlar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tayyorlash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zarur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xomashyo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sotib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olish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shogirdlarni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haqi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bilan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ta’minlash</w:t>
            </w:r>
            <w:proofErr w:type="spellEnd"/>
            <w:r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0DF">
              <w:rPr>
                <w:rFonts w:ascii="Times New Roman" w:eastAsia="Times New Roman" w:hAnsi="Times New Roman" w:cs="Times New Roman"/>
                <w:sz w:val="24"/>
                <w:szCs w:val="24"/>
              </w:rPr>
              <w:t>uchun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Bazaviy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hisoblash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miqdorining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baravarigacha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Bazaviy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hisoblash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miqdorining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baravarigacha</w:t>
            </w:r>
            <w:proofErr w:type="spellEnd"/>
          </w:p>
        </w:tc>
      </w:tr>
      <w:tr w:rsidR="00E52A5D" w:rsidRPr="00C050DF" w:rsidTr="00E52A5D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Shogirdlarga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mustaqil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faoliyat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boshlashi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uchun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zarur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asbob</w:t>
            </w:r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uskuna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jihozlarni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sotib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shuningdek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ustalarga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saytlarini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tashkil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o‘z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mahsulotlarini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jahon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savdo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maydonchalariga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chiqarish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reklama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xarajatlari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uchun</w:t>
            </w:r>
            <w:proofErr w:type="spellEnd"/>
          </w:p>
        </w:tc>
        <w:tc>
          <w:tcPr>
            <w:tcW w:w="2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C050DF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Xarajatlarning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75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foizi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biroq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bazaviy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hisoblash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miqdorining</w:t>
            </w:r>
            <w:proofErr w:type="spellEnd"/>
            <w:r w:rsidR="00E52A5D"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C050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baravarigacha</w:t>
            </w:r>
            <w:proofErr w:type="spellEnd"/>
          </w:p>
        </w:tc>
      </w:tr>
      <w:tr w:rsidR="00E52A5D" w:rsidRPr="003237E0" w:rsidTr="00E52A5D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E52A5D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o‘quv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kurslarini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tamomlagan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bitiruvchi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yoshlar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xotin</w:t>
            </w:r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qizlar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uchun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kasb</w:t>
            </w:r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tadbirkorlikka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o‘qitish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bo‘yicha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nodavlat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ta’lim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tashkilotlariga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sarflangan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xarajatlarning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bitiruvchi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hisobiga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so‘mdan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oshmagan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kompensatsiya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qilish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Xarajatlarning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foiz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A5D" w:rsidRPr="003237E0" w:rsidRDefault="00C050DF" w:rsidP="00323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Xarajatlarning</w:t>
            </w:r>
            <w:proofErr w:type="spellEnd"/>
            <w:r w:rsidR="00E52A5D" w:rsidRPr="0032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foiz</w:t>
            </w:r>
            <w:proofErr w:type="spellEnd"/>
          </w:p>
        </w:tc>
      </w:tr>
    </w:tbl>
    <w:p w:rsidR="0095782A" w:rsidRDefault="0095782A" w:rsidP="00361230">
      <w:r>
        <w:t xml:space="preserve"> </w:t>
      </w:r>
    </w:p>
    <w:sectPr w:rsidR="0095782A" w:rsidSect="00C050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7685"/>
    <w:multiLevelType w:val="hybridMultilevel"/>
    <w:tmpl w:val="724436EC"/>
    <w:lvl w:ilvl="0" w:tplc="9630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B8"/>
    <w:rsid w:val="00074499"/>
    <w:rsid w:val="000B2B69"/>
    <w:rsid w:val="002445D1"/>
    <w:rsid w:val="003038CC"/>
    <w:rsid w:val="003237E0"/>
    <w:rsid w:val="003463C6"/>
    <w:rsid w:val="00361230"/>
    <w:rsid w:val="00387CE5"/>
    <w:rsid w:val="003F428B"/>
    <w:rsid w:val="00526EF5"/>
    <w:rsid w:val="00560538"/>
    <w:rsid w:val="005A50D5"/>
    <w:rsid w:val="00670532"/>
    <w:rsid w:val="00753F1F"/>
    <w:rsid w:val="00801F07"/>
    <w:rsid w:val="008B79E1"/>
    <w:rsid w:val="0095782A"/>
    <w:rsid w:val="00B0063D"/>
    <w:rsid w:val="00B85AB8"/>
    <w:rsid w:val="00B8758D"/>
    <w:rsid w:val="00BB4C06"/>
    <w:rsid w:val="00C050DF"/>
    <w:rsid w:val="00D232A8"/>
    <w:rsid w:val="00E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8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8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crollText(633342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B328-2B11-4285-84E6-73DB404C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Пользователь</cp:lastModifiedBy>
  <cp:revision>2</cp:revision>
  <dcterms:created xsi:type="dcterms:W3CDTF">2023-03-13T08:26:00Z</dcterms:created>
  <dcterms:modified xsi:type="dcterms:W3CDTF">2023-03-13T08:26:00Z</dcterms:modified>
</cp:coreProperties>
</file>